
<file path=[Content_Types].xml><?xml version="1.0" encoding="utf-8"?>
<Types xmlns="http://schemas.openxmlformats.org/package/2006/content-types">
  <Default Extension="jpeg" ContentType="image/jpeg"/>
  <Default Extension="JPG" ContentType="image/.jp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A022B2F">
      <w:pPr>
        <w:spacing w:after="0"/>
        <w:ind w:left="0" w:leftChars="-100" w:hanging="220" w:firstLineChars="0"/>
        <w:jc w:val="both"/>
        <w:rPr>
          <w:rFonts w:hint="default"/>
          <w:lang w:val="ru-RU"/>
        </w:rPr>
      </w:pPr>
      <w:bookmarkStart w:id="1" w:name="_GoBack"/>
      <w:r>
        <w:rPr>
          <w:rFonts w:hint="default"/>
          <w:lang w:val="ru-RU"/>
        </w:rPr>
        <w:drawing>
          <wp:inline distT="0" distB="0" distL="114300" distR="114300">
            <wp:extent cx="5935345" cy="1562735"/>
            <wp:effectExtent l="0" t="0" r="8255" b="12065"/>
            <wp:docPr id="1" name="Изображение 1" descr="печать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печать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35345" cy="1562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1"/>
    </w:p>
    <w:p w14:paraId="49FCE00C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14:paraId="3B9B4C9F">
      <w:pPr>
        <w:spacing w:after="0"/>
        <w:ind w:left="33" w:right="19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Положение об оплате труда в </w:t>
      </w:r>
    </w:p>
    <w:p w14:paraId="4FD7421B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  <w:u w:val="single"/>
        </w:rPr>
      </w:pPr>
      <w:bookmarkStart w:id="0" w:name="_Hlk174449563"/>
      <w:r>
        <w:rPr>
          <w:rFonts w:ascii="Times New Roman" w:hAnsi="Times New Roman" w:cs="Times New Roman"/>
          <w:b/>
          <w:w w:val="115"/>
          <w:sz w:val="24"/>
          <w:szCs w:val="24"/>
          <w:u w:val="single"/>
        </w:rPr>
        <w:t xml:space="preserve">Государственном бюджетном общеобразовательном учреждении </w:t>
      </w:r>
    </w:p>
    <w:p w14:paraId="100FF78E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w w:val="115"/>
          <w:sz w:val="24"/>
          <w:szCs w:val="24"/>
          <w:u w:val="single"/>
        </w:rPr>
        <w:t xml:space="preserve">«Многопольский учебно-воспитательный комплекс </w:t>
      </w:r>
    </w:p>
    <w:p w14:paraId="4F98ABB9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w w:val="115"/>
          <w:sz w:val="24"/>
          <w:szCs w:val="24"/>
          <w:u w:val="single"/>
        </w:rPr>
        <w:t>Амвросиевского муниципального округа»</w:t>
      </w:r>
    </w:p>
    <w:p w14:paraId="2F00A755">
      <w:pPr>
        <w:spacing w:after="0"/>
        <w:jc w:val="center"/>
        <w:rPr>
          <w:rFonts w:ascii="Times New Roman" w:hAnsi="Times New Roman" w:cs="Times New Roman"/>
          <w:b/>
          <w:w w:val="115"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w w:val="115"/>
          <w:sz w:val="24"/>
          <w:szCs w:val="24"/>
          <w:u w:val="single"/>
        </w:rPr>
        <w:t>Донецкой Народной Республики</w:t>
      </w:r>
    </w:p>
    <w:bookmarkEnd w:id="0"/>
    <w:p w14:paraId="47203A86">
      <w:pPr>
        <w:spacing w:after="0"/>
        <w:ind w:left="33" w:right="19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20DEE">
      <w:pPr>
        <w:spacing w:after="0"/>
        <w:ind w:right="1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 Общие положения</w:t>
      </w:r>
    </w:p>
    <w:p w14:paraId="448D48D7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1.1. Настоящее Положение разработано в соответствии с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подп. «д», п. 2 ч. 2 ст. 29 и п. 7 ст. 47 </w:t>
      </w:r>
      <w:r>
        <w:rPr>
          <w:rFonts w:ascii="Times New Roman" w:hAnsi="Times New Roman" w:cs="Times New Roman"/>
          <w:sz w:val="24"/>
          <w:szCs w:val="24"/>
        </w:rPr>
        <w:t xml:space="preserve">Федерального закона от 29 декабря 2012 года № 273-ФЗ «Об образовании в Российской Федерации», ст. </w:t>
      </w:r>
      <w:r>
        <w:rPr>
          <w:rFonts w:ascii="Times New Roman" w:hAnsi="Times New Roman" w:cs="Times New Roman"/>
          <w:sz w:val="24"/>
          <w:szCs w:val="24"/>
          <w:lang w:eastAsia="ru-RU" w:bidi="ru-RU"/>
        </w:rPr>
        <w:t xml:space="preserve">129, 135, 333, 334, 335 </w:t>
      </w:r>
      <w:r>
        <w:rPr>
          <w:rFonts w:ascii="Times New Roman" w:hAnsi="Times New Roman" w:cs="Times New Roman"/>
          <w:sz w:val="24"/>
          <w:szCs w:val="24"/>
        </w:rPr>
        <w:t xml:space="preserve">Трудового кодекса Российской Федерации, нормативными актами регионального; Уставом </w:t>
      </w:r>
      <w:r>
        <w:rPr>
          <w:rFonts w:ascii="Times New Roman" w:hAnsi="Times New Roman" w:cs="Times New Roman"/>
          <w:bCs/>
          <w:w w:val="115"/>
        </w:rPr>
        <w:t>Государственного бюджетного общеобразовательного учреждения «Многопольский учебно-воспитательный комплекс Амвросиевского муниципального округа» Донецкой Народной Республики</w:t>
      </w:r>
      <w:r>
        <w:rPr>
          <w:rFonts w:ascii="Times New Roman" w:hAnsi="Times New Roman" w:cs="Times New Roman"/>
          <w:i/>
          <w:sz w:val="24"/>
          <w:szCs w:val="24"/>
        </w:rPr>
        <w:t>;</w:t>
      </w:r>
      <w:r>
        <w:rPr>
          <w:rFonts w:ascii="Times New Roman" w:hAnsi="Times New Roman" w:cs="Times New Roman"/>
          <w:sz w:val="24"/>
          <w:szCs w:val="24"/>
        </w:rPr>
        <w:t xml:space="preserve"> иными нормативными актами и предусматривает порядок и условия оплаты труда, порядок расходования средств на оплату труда, систему материального стимулирования и поощрения работников </w:t>
      </w:r>
      <w:r>
        <w:rPr>
          <w:rFonts w:ascii="Times New Roman" w:hAnsi="Times New Roman" w:cs="Times New Roman"/>
          <w:i/>
          <w:sz w:val="24"/>
          <w:szCs w:val="24"/>
        </w:rPr>
        <w:t>образовательной организации</w:t>
      </w:r>
      <w:r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7B3030BA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1.2. Положение вступает в силу в день его утверждения и действует до момента отмены. </w:t>
      </w:r>
    </w:p>
    <w:p w14:paraId="02CA3A7F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1.3. Настоящее положение не регулирует отношения по поводу назначения материальной помощи. </w:t>
      </w:r>
    </w:p>
    <w:p w14:paraId="2332D568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1.4. Положение направлено на мотивацию работников образовательной организации к качественному выполнению своих профессиональных обязанностей, предусмотренных должностными инструкциями, проявления творческого и ответственного отношения к труду, повышению качества и результативности выполняемой работы, активности в выполнении задач образовательной организации, обеспечения условий для качественной реализации образовательных программ и программы воспитания обучающихся, укрепление социального статуса работников образовательной организации.  </w:t>
      </w:r>
    </w:p>
    <w:p w14:paraId="7031C442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1.5. Под оплатой труда понимаются денежные средства, выплачиваемые работникам организации за выполнение ими трудовой функции по определенной должности, а также иные выплаты (доплаты, надбавки, компенсационные, стимулирующие и поощрительные выплаты).</w:t>
      </w:r>
    </w:p>
    <w:p w14:paraId="404301C7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1.6. Оплата труда работников образовательной организации включает: заработную плату, состоящую из оклада (должностного оклада), а также доплат и надбавок; стимулирующие и поощрительные выплаты за надлежащее выполнение трудовых обязанностей, производимые в соответствии с настоящим Положением.</w:t>
      </w:r>
    </w:p>
    <w:p w14:paraId="65A7F50D">
      <w:pPr>
        <w:spacing w:after="0"/>
        <w:ind w:right="1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1.7. Фонд оплаты труда работников образовательной организации формируется из объема бюджетных финансовых средств выделенных на выполнение государственного задания (государственных работ) образовательной организации, средств, формируемых из оплаты образовательных услуг, а также за счет средств оплаты за дополнительные образовательные услуги, в соответствии с утвержденным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Рисунок 4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Планом финансово-хозяйственной деятельности </w:t>
      </w:r>
      <w:r>
        <w:rPr>
          <w:rFonts w:ascii="Times New Roman" w:hAnsi="Times New Roman" w:cs="Times New Roman"/>
          <w:i/>
          <w:sz w:val="24"/>
          <w:szCs w:val="24"/>
        </w:rPr>
        <w:t>образовательной организации.</w:t>
      </w:r>
    </w:p>
    <w:p w14:paraId="7770D1AE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</w:p>
    <w:p w14:paraId="3E28F7DF">
      <w:pPr>
        <w:pStyle w:val="2"/>
        <w:spacing w:line="276" w:lineRule="auto"/>
        <w:ind w:left="116" w:right="58" w:firstLine="709"/>
        <w:contextualSpacing/>
        <w:rPr>
          <w:b/>
          <w:color w:val="auto"/>
          <w:sz w:val="24"/>
          <w:szCs w:val="24"/>
          <w:lang w:val="ru-RU"/>
        </w:rPr>
      </w:pPr>
      <w:r>
        <w:rPr>
          <w:b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59264" behindDoc="0" locked="0" layoutInCell="1" allowOverlap="0">
            <wp:simplePos x="0" y="0"/>
            <wp:positionH relativeFrom="page">
              <wp:posOffset>7113905</wp:posOffset>
            </wp:positionH>
            <wp:positionV relativeFrom="page">
              <wp:posOffset>1484630</wp:posOffset>
            </wp:positionV>
            <wp:extent cx="3175" cy="3175"/>
            <wp:effectExtent l="0" t="0" r="0" b="0"/>
            <wp:wrapSquare wrapText="bothSides"/>
            <wp:docPr id="55" name="Рисунок 5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5" name="Рисунок 55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auto"/>
          <w:sz w:val="24"/>
          <w:szCs w:val="24"/>
          <w:lang w:val="ru-RU" w:eastAsia="ru-RU"/>
        </w:rPr>
        <w:drawing>
          <wp:anchor distT="0" distB="0" distL="114300" distR="114300" simplePos="0" relativeHeight="251660288" behindDoc="0" locked="0" layoutInCell="1" allowOverlap="0">
            <wp:simplePos x="0" y="0"/>
            <wp:positionH relativeFrom="page">
              <wp:posOffset>7113905</wp:posOffset>
            </wp:positionH>
            <wp:positionV relativeFrom="page">
              <wp:posOffset>1637030</wp:posOffset>
            </wp:positionV>
            <wp:extent cx="3175" cy="6350"/>
            <wp:effectExtent l="0" t="0" r="0" b="0"/>
            <wp:wrapSquare wrapText="bothSides"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Рисунок 54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b/>
          <w:color w:val="auto"/>
          <w:sz w:val="24"/>
          <w:szCs w:val="24"/>
          <w:lang w:val="ru-RU"/>
        </w:rPr>
        <w:t>2. Система оплаты труда</w:t>
      </w:r>
    </w:p>
    <w:p w14:paraId="44BA02FF">
      <w:pPr>
        <w:spacing w:after="0"/>
        <w:ind w:left="33"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Под системой оплаты труда в настоящем Положении понимается способ расчета размеров вознаграждения, подлежащего уплате работникам образовательной организации выполнение ими трудовых функций.</w:t>
      </w:r>
    </w:p>
    <w:p w14:paraId="2F11DA70">
      <w:pPr>
        <w:spacing w:after="0"/>
        <w:ind w:left="33"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2.2. В образовательной организации устанавливается система оплаты труда, при которой величина заработной платы работника зависит от фактически отработанного времени, согласно данным учета, ведущегося в образовательной организации. </w:t>
      </w:r>
    </w:p>
    <w:p w14:paraId="5AF5C072">
      <w:pPr>
        <w:spacing w:after="0"/>
        <w:ind w:left="33"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2.3. Оплата труда работников образовательной организации состоит из постоянной и переменной частей.</w:t>
      </w:r>
    </w:p>
    <w:p w14:paraId="20E4B360">
      <w:pPr>
        <w:spacing w:after="0"/>
        <w:ind w:left="33"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Постоянная часть оплаты труда является гарантированным денежным вознаграждением за выполнение работником возложенных на него трудовых функций и представляет должностной оклад работника, установленный ему в соответствии со штатным расписанием.</w:t>
      </w:r>
    </w:p>
    <w:p w14:paraId="00C23B2D">
      <w:pPr>
        <w:spacing w:after="0"/>
        <w:ind w:left="33"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2.5. Переменной частью оплаты труда являются премии, надбавки и иные выплаты, назначаемые в соответствии с настоящим Положением.</w:t>
      </w:r>
    </w:p>
    <w:p w14:paraId="3664E3E5">
      <w:pPr>
        <w:spacing w:after="0"/>
        <w:ind w:left="33" w:right="19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787AB06">
      <w:pPr>
        <w:spacing w:after="0"/>
        <w:ind w:left="709" w:right="1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3. Оклад (должностной оклад)</w:t>
      </w:r>
    </w:p>
    <w:p w14:paraId="0AB8DA87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3.1. Под окладом (должностным окладом) в соответствии со ст. 129 ТК РФ понимается фиксированный размер оплаты труда работника за исполнение трудовых (должностных) обязанностей определенной сложности за календарный месяц без учета компенсационных, стимулирующих и социальных выплат. </w:t>
      </w:r>
    </w:p>
    <w:p w14:paraId="70A41C3F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3.2. Размер оклада (должностного оклада) работника устанавливается в трудовом договоре в соответствии с действующим штатным расписанием и не может быть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9" name="Рисунок 39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 xml:space="preserve"> ниже установленного федеральным законом минимального размера оплаты труда.</w:t>
      </w:r>
    </w:p>
    <w:p w14:paraId="62DC875C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3.3. Размер оклада (должностного оклада) может повышаться по решению работодателя, оформленному приказом по образовательной организации и дополнительным соглашением с сотрудником.</w:t>
      </w:r>
    </w:p>
    <w:p w14:paraId="4141B29B">
      <w:pPr>
        <w:spacing w:after="0"/>
        <w:ind w:right="19" w:firstLine="709"/>
        <w:rPr>
          <w:rFonts w:ascii="Times New Roman" w:hAnsi="Times New Roman" w:cs="Times New Roman"/>
          <w:b/>
          <w:sz w:val="24"/>
          <w:szCs w:val="24"/>
        </w:rPr>
      </w:pPr>
    </w:p>
    <w:p w14:paraId="106DCA84">
      <w:pPr>
        <w:spacing w:after="0"/>
        <w:ind w:right="1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4. Доплаты и надбавки</w:t>
      </w:r>
    </w:p>
    <w:p w14:paraId="5EFED423">
      <w:pPr>
        <w:widowControl w:val="0"/>
        <w:spacing w:after="0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4.1. Работникам образовательной организации в соответствии с действующим законодательством устанавливаются следующие доплаты: </w:t>
      </w:r>
    </w:p>
    <w:p w14:paraId="711D26AB">
      <w:pPr>
        <w:spacing w:after="0"/>
        <w:ind w:right="950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сверхурочную работу;</w:t>
      </w:r>
    </w:p>
    <w:p w14:paraId="066153CD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работу в выходные и праздничные дни;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Рисунок 37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D8A5AE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работу в ночную смену;</w:t>
      </w:r>
    </w:p>
    <w:p w14:paraId="3858E59E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выполнение обязанностей временно отсутствующего работника;</w:t>
      </w:r>
    </w:p>
    <w:p w14:paraId="456DBD55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совмещение профессий (должностей);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E05450A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расширение зон обслуживания;</w:t>
      </w:r>
    </w:p>
    <w:p w14:paraId="4B365E55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работу в условиях, отклоняющихся от нормальных</w:t>
      </w:r>
    </w:p>
    <w:p w14:paraId="7FCDCA93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4.2. За работу в выходные и праздничные дни работникам с повременной оплатой труда устанавливаются выплаты в соответствии с Трудовым Кодексом РФ.</w:t>
      </w:r>
    </w:p>
    <w:p w14:paraId="14E17898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По желанию работника вместо указанных выше выплат ему могут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Рисунок 34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предоставляться дополнительные дни отдыха.</w:t>
      </w:r>
    </w:p>
    <w:p w14:paraId="28DC1731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4.3. За выполнение обязанностей временно отсутствующего педагогического работника устанавливается следующая доплата</w:t>
      </w:r>
    </w:p>
    <w:p w14:paraId="1E728094">
      <w:pPr>
        <w:spacing w:after="0"/>
        <w:ind w:right="1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Должность - доплата </w:t>
      </w:r>
    </w:p>
    <w:p w14:paraId="29BB7613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Рисунок 3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4.4. За совмещение профессий (должностей) устанавливается доплата в размере, установленном по соглашению сторон.</w:t>
      </w:r>
    </w:p>
    <w:p w14:paraId="17AD753F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1312" behindDoc="0" locked="0" layoutInCell="1" allowOverlap="0">
            <wp:simplePos x="0" y="0"/>
            <wp:positionH relativeFrom="page">
              <wp:posOffset>4001770</wp:posOffset>
            </wp:positionH>
            <wp:positionV relativeFrom="page">
              <wp:posOffset>664845</wp:posOffset>
            </wp:positionV>
            <wp:extent cx="3175" cy="3175"/>
            <wp:effectExtent l="0" t="0" r="0" b="0"/>
            <wp:wrapTopAndBottom/>
            <wp:docPr id="53" name="Рисунок 5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Рисунок 53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</w:rPr>
        <w:t>4.5. Совокупный размер доплат, установленных работнику, максимальным размером не ограничивается.</w:t>
      </w:r>
    </w:p>
    <w:p w14:paraId="7477AA28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4.6. Работникам образовательной организации могут устанавливаться следующие виды надбавок к заработной плате:</w:t>
      </w:r>
    </w:p>
    <w:p w14:paraId="2DC7AA2E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интенсивность и напряженность труда;</w:t>
      </w:r>
    </w:p>
    <w:p w14:paraId="5FD8850B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квалификационную категорию педагогического работника;</w:t>
      </w:r>
    </w:p>
    <w:p w14:paraId="1074EB23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иные виды надбавок в соответствии с нормативными актами образовательной организации.</w:t>
      </w:r>
    </w:p>
    <w:p w14:paraId="706D6605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4.7. Надбавки назначаются за выполнение следующих функций:</w:t>
      </w:r>
    </w:p>
    <w:p w14:paraId="2FEFB285">
      <w:pPr>
        <w:spacing w:after="0"/>
        <w:ind w:right="1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Перечислить. Например:</w:t>
      </w:r>
    </w:p>
    <w:p w14:paraId="19A076F4">
      <w:pPr>
        <w:spacing w:after="0"/>
        <w:ind w:right="1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координатор электронного журнала;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C0031ED">
      <w:pPr>
        <w:spacing w:after="0"/>
        <w:ind w:right="1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руководитель предметной комиссии;</w:t>
      </w:r>
    </w:p>
    <w:p w14:paraId="6E882F48">
      <w:pPr>
        <w:spacing w:after="0"/>
        <w:ind w:right="19" w:firstLine="709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координатор внеурочной деятельности и пр.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98AC35B">
      <w:pPr>
        <w:spacing w:after="0"/>
        <w:ind w:right="1632" w:firstLine="709"/>
        <w:contextualSpacing/>
        <w:rPr>
          <w:rFonts w:ascii="Times New Roman" w:hAnsi="Times New Roman" w:cs="Times New Roman"/>
          <w:sz w:val="24"/>
          <w:szCs w:val="24"/>
        </w:rPr>
      </w:pPr>
    </w:p>
    <w:p w14:paraId="5B7570F8">
      <w:pPr>
        <w:spacing w:after="0"/>
        <w:ind w:right="-3" w:firstLine="709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5. Порядок и условия установления выплат стимулирующего характера</w:t>
      </w:r>
    </w:p>
    <w:p w14:paraId="437BBE20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5.1. В целях повышения мотивации качества работы и поощрения за результаты труда в образовательной организации могут устанавливаться следующие выплаты стимулирующего характера:</w:t>
      </w:r>
    </w:p>
    <w:p w14:paraId="7D3997E8">
      <w:pPr>
        <w:spacing w:after="0"/>
        <w:ind w:right="134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стимулирующая выплата за результативность работы по итогам месяца;</w:t>
      </w:r>
    </w:p>
    <w:p w14:paraId="258587A9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стимулирующая выплата за выполнение плана работы организации - премии.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Рисунок 23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EB212EC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5.2. Стимулирующая выплата за результативность работы в предыдущем периоде выплачивается по результатам участия работника в достижении следующих результатов образовательной деятельности:</w:t>
      </w:r>
    </w:p>
    <w:p w14:paraId="608CA7DF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положительную динамику результатов образовательной деятельности;</w:t>
      </w:r>
    </w:p>
    <w:p w14:paraId="0F110270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и отличие обучающихся в мероприятиях различного уровня;</w:t>
      </w:r>
    </w:p>
    <w:p w14:paraId="1A972FCC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участие в создании методических пособий и рекомендаций</w:t>
      </w:r>
    </w:p>
    <w:p w14:paraId="351165EC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5.3. Сотрудники образовательной организации могут быть премированы:</w:t>
      </w:r>
    </w:p>
    <w:p w14:paraId="777FED24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качественное выполнение разовых и постоянных поручений;</w:t>
      </w:r>
    </w:p>
    <w:p w14:paraId="01B97930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-за выполнение работы, оказавшей положительное влияние на работу образовательной организации;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Рисунок 14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36AEAB3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за иные виды деятельности, связанные с выполнением уставных задач образовательной организации.</w:t>
      </w:r>
    </w:p>
    <w:p w14:paraId="77BA9AB6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5.4. Размер премии зависит от конкретных показателей производственной деятельности и может устанавливаться как в абсолютном значении, так и в процентном отношении к окладу (должностному окладу).</w:t>
      </w:r>
    </w:p>
    <w:p w14:paraId="4CCE261D">
      <w:pPr>
        <w:spacing w:after="0"/>
        <w:ind w:right="19" w:firstLine="709"/>
        <w:rPr>
          <w:rFonts w:ascii="Times New Roman" w:hAnsi="Times New Roman" w:cs="Times New Roman"/>
          <w:b/>
          <w:sz w:val="24"/>
          <w:szCs w:val="24"/>
        </w:rPr>
      </w:pPr>
    </w:p>
    <w:p w14:paraId="1B98F2E4">
      <w:pPr>
        <w:spacing w:after="0"/>
        <w:ind w:right="19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6. Начисление и выплата заработной платы</w:t>
      </w:r>
    </w:p>
    <w:p w14:paraId="55AACBD3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6.1.  Основанием для начисления заработной платы являются: штатное расписание, трудовой договор, табель учета рабочего времени и приказы, подписанные руководителем образовательной организации</w:t>
      </w:r>
    </w:p>
    <w:p w14:paraId="145A43EF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6.2. Табели учета рабочего времени заполняют и подписывают назначенные для этого сотрудники структурных подразделений. Руководитель структурного подразделения представляет табель в кадровую службу образовательной организации.</w:t>
      </w:r>
    </w:p>
    <w:p w14:paraId="65ECD8FA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6.3. Заработная плата начисляется за фактически отработанное время и перечисляется указанный работником счет в банке на условиях,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inline distT="0" distB="0" distL="0" distR="0">
            <wp:extent cx="9525" cy="952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Рисунок 8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9525" cy="9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4"/>
          <w:szCs w:val="24"/>
        </w:rPr>
        <w:t>предусмотренных трудовым договором.</w:t>
      </w:r>
    </w:p>
    <w:p w14:paraId="4A4CCEA7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6.4. Моментом исполнения обязательств об оплате труда образовательной организации является представление надлежащих документов в банковскую организацию. 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2336" behindDoc="0" locked="0" layoutInCell="1" allowOverlap="0">
            <wp:simplePos x="0" y="0"/>
            <wp:positionH relativeFrom="page">
              <wp:posOffset>7113905</wp:posOffset>
            </wp:positionH>
            <wp:positionV relativeFrom="page">
              <wp:posOffset>1484630</wp:posOffset>
            </wp:positionV>
            <wp:extent cx="3175" cy="3175"/>
            <wp:effectExtent l="0" t="0" r="0" b="0"/>
            <wp:wrapSquare wrapText="bothSides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" name="Рисунок 51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3360" behindDoc="0" locked="0" layoutInCell="1" allowOverlap="0">
            <wp:simplePos x="0" y="0"/>
            <wp:positionH relativeFrom="page">
              <wp:posOffset>7110730</wp:posOffset>
            </wp:positionH>
            <wp:positionV relativeFrom="page">
              <wp:posOffset>1494155</wp:posOffset>
            </wp:positionV>
            <wp:extent cx="3175" cy="3175"/>
            <wp:effectExtent l="0" t="0" r="0" b="0"/>
            <wp:wrapSquare wrapText="bothSides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Рисунок 50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4384" behindDoc="0" locked="0" layoutInCell="1" allowOverlap="0">
            <wp:simplePos x="0" y="0"/>
            <wp:positionH relativeFrom="page">
              <wp:posOffset>7117080</wp:posOffset>
            </wp:positionH>
            <wp:positionV relativeFrom="page">
              <wp:posOffset>1494155</wp:posOffset>
            </wp:positionV>
            <wp:extent cx="3175" cy="3175"/>
            <wp:effectExtent l="0" t="0" r="0" b="0"/>
            <wp:wrapSquare wrapText="bothSides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" name="Рисунок 49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3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7FA0C2B7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6.5. Бухгалтерия формирует расчетный лист каждого сотрудника, и направляет его по адресу электронной почты сотрудника.</w:t>
      </w:r>
    </w:p>
    <w:p w14:paraId="555AF5D1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6.6. Выплата заработной платы производится два раза в месяц: 20-го числа расчетного месяца – за первую половину месяца и 5-го числа месяца, следующего за отработанным – окончательный расчет за месяц.</w:t>
      </w:r>
    </w:p>
    <w:p w14:paraId="1D953F33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6.7. Если срок выплаты зарплаты выпадает на выходной или нерабочий праздничный день, она производится накануне этого дня.</w:t>
      </w:r>
    </w:p>
    <w:p w14:paraId="01A64D11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6.8. Удержания из заработной платы работника производятся только в случаях, предусмотренных Трудовым кодексом РФ и иными федеральными законами, а также по личному заявлению работника или по решению судебных органов.</w:t>
      </w:r>
    </w:p>
    <w:p w14:paraId="63E727DE">
      <w:pPr>
        <w:spacing w:after="0"/>
        <w:ind w:right="19" w:firstLine="709"/>
        <w:contextualSpacing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6.9. Информация о всех начислениях и удержаниях денежных средств представляется только сотруднику или лицам, имеющим право на получение такой информации в соответствии с действующим законодательством.</w:t>
      </w:r>
    </w:p>
    <w:p w14:paraId="35F14D50">
      <w:pPr>
        <w:spacing w:after="0"/>
        <w:ind w:right="19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6.10. Оплата отпуска работникам производится не позднее, чем за три дня до его начала.</w:t>
      </w:r>
    </w:p>
    <w:p w14:paraId="052FB6F4">
      <w:pPr>
        <w:spacing w:after="0"/>
        <w:ind w:right="58"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6.11. При прекращении трудового договора выплата всех сумм, причитающихся работнику от работодателя, производится в день увольнения работника. </w:t>
      </w:r>
    </w:p>
    <w:p w14:paraId="128A6DA9">
      <w:pPr>
        <w:spacing w:after="0"/>
        <w:ind w:right="19" w:firstLine="709"/>
        <w:rPr>
          <w:rFonts w:ascii="Times New Roman" w:hAnsi="Times New Roman" w:cs="Times New Roman"/>
          <w:b/>
          <w:sz w:val="24"/>
          <w:szCs w:val="24"/>
        </w:rPr>
      </w:pPr>
    </w:p>
    <w:p w14:paraId="639D96A7">
      <w:pPr>
        <w:spacing w:after="0"/>
        <w:ind w:right="19" w:firstLine="709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7. Ответственность работодателя</w:t>
      </w:r>
      <w:r>
        <w:rPr>
          <w:rFonts w:ascii="Times New Roman" w:hAnsi="Times New Roman" w:cs="Times New Roman"/>
          <w:sz w:val="24"/>
          <w:szCs w:val="24"/>
          <w:lang w:eastAsia="ru-RU"/>
        </w:rPr>
        <w:drawing>
          <wp:anchor distT="0" distB="0" distL="114300" distR="114300" simplePos="0" relativeHeight="251665408" behindDoc="0" locked="0" layoutInCell="1" allowOverlap="0">
            <wp:simplePos x="0" y="0"/>
            <wp:positionH relativeFrom="page">
              <wp:posOffset>4090670</wp:posOffset>
            </wp:positionH>
            <wp:positionV relativeFrom="page">
              <wp:posOffset>685800</wp:posOffset>
            </wp:positionV>
            <wp:extent cx="3175" cy="6350"/>
            <wp:effectExtent l="0" t="0" r="0" b="0"/>
            <wp:wrapTopAndBottom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Рисунок 4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175" cy="6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A57FC68">
      <w:pPr>
        <w:spacing w:after="0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7.1. За задержку выплаты заработной платы работодатель несет ответственность в соответствии с законодательством Российской Федерации.</w:t>
      </w:r>
    </w:p>
    <w:sectPr>
      <w:pgSz w:w="11906" w:h="16838"/>
      <w:pgMar w:top="1134" w:right="851" w:bottom="1134" w:left="1701" w:header="709" w:footer="709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86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200247B" w:usb2="00000009" w:usb3="00000000" w:csb0="200001FF" w:csb1="00000000"/>
  </w:font>
  <w:font w:name="Calibri">
    <w:panose1 w:val="020F0502020204030204"/>
    <w:charset w:val="00"/>
    <w:family w:val="auto"/>
    <w:pitch w:val="default"/>
    <w:sig w:usb0="E4002EFF" w:usb1="C200247B" w:usb2="00000009" w:usb3="00000000" w:csb0="200001FF" w:csb1="00000000"/>
  </w:font>
  <w:font w:name="Georgia">
    <w:panose1 w:val="02040502050405020303"/>
    <w:charset w:val="CC"/>
    <w:family w:val="roman"/>
    <w:pitch w:val="default"/>
    <w:sig w:usb0="00000287" w:usb1="00000000" w:usb2="00000000" w:usb3="00000000" w:csb0="200000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30DF"/>
    <w:rsid w:val="003E30DF"/>
    <w:rsid w:val="006C0B77"/>
    <w:rsid w:val="006F4427"/>
    <w:rsid w:val="008242FF"/>
    <w:rsid w:val="00870751"/>
    <w:rsid w:val="00922C48"/>
    <w:rsid w:val="00A53B66"/>
    <w:rsid w:val="00B915B7"/>
    <w:rsid w:val="00EA59DF"/>
    <w:rsid w:val="00EE4070"/>
    <w:rsid w:val="00F12C76"/>
    <w:rsid w:val="62C13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HAnsi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kern w:val="0"/>
      <w:sz w:val="22"/>
      <w:szCs w:val="22"/>
      <w:lang w:val="ru-RU" w:eastAsia="en-US" w:bidi="ar-SA"/>
      <w14:ligatures w14:val="none"/>
    </w:rPr>
  </w:style>
  <w:style w:type="paragraph" w:styleId="2">
    <w:name w:val="heading 1"/>
    <w:next w:val="1"/>
    <w:link w:val="5"/>
    <w:unhideWhenUsed/>
    <w:qFormat/>
    <w:uiPriority w:val="9"/>
    <w:pPr>
      <w:keepNext/>
      <w:keepLines/>
      <w:spacing w:after="0" w:line="259" w:lineRule="auto"/>
      <w:ind w:left="53" w:hanging="10"/>
      <w:jc w:val="center"/>
      <w:outlineLvl w:val="0"/>
    </w:pPr>
    <w:rPr>
      <w:rFonts w:ascii="Times New Roman" w:hAnsi="Times New Roman" w:eastAsia="Times New Roman" w:cs="Times New Roman"/>
      <w:color w:val="000000"/>
      <w:kern w:val="0"/>
      <w:sz w:val="30"/>
      <w:szCs w:val="22"/>
      <w:lang w:val="en-US" w:eastAsia="en-US" w:bidi="ar-SA"/>
      <w14:ligatures w14:val="none"/>
    </w:rPr>
  </w:style>
  <w:style w:type="character" w:default="1" w:styleId="3">
    <w:name w:val="Default Paragraph Font"/>
    <w:semiHidden/>
    <w:unhideWhenUsed/>
    <w:uiPriority w:val="1"/>
  </w:style>
  <w:style w:type="table" w:default="1" w:styleId="4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5">
    <w:name w:val="Заголовок 1 Знак"/>
    <w:basedOn w:val="3"/>
    <w:link w:val="2"/>
    <w:uiPriority w:val="9"/>
    <w:rPr>
      <w:rFonts w:ascii="Times New Roman" w:hAnsi="Times New Roman" w:eastAsia="Times New Roman" w:cs="Times New Roman"/>
      <w:color w:val="000000"/>
      <w:kern w:val="0"/>
      <w:sz w:val="30"/>
      <w:lang w:val="en-US"/>
      <w14:ligatures w14:val="non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4.jpeg"/><Relationship Id="rId8" Type="http://schemas.openxmlformats.org/officeDocument/2006/relationships/image" Target="media/image3.jpeg"/><Relationship Id="rId7" Type="http://schemas.openxmlformats.org/officeDocument/2006/relationships/image" Target="media/image2.jpeg"/><Relationship Id="rId6" Type="http://schemas.openxmlformats.org/officeDocument/2006/relationships/image" Target="media/image1.jpe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2" Type="http://schemas.openxmlformats.org/officeDocument/2006/relationships/fontTable" Target="fontTable.xml"/><Relationship Id="rId21" Type="http://schemas.openxmlformats.org/officeDocument/2006/relationships/image" Target="media/image16.jpeg"/><Relationship Id="rId20" Type="http://schemas.openxmlformats.org/officeDocument/2006/relationships/image" Target="media/image15.jpeg"/><Relationship Id="rId2" Type="http://schemas.openxmlformats.org/officeDocument/2006/relationships/settings" Target="settings.xml"/><Relationship Id="rId19" Type="http://schemas.openxmlformats.org/officeDocument/2006/relationships/image" Target="media/image14.jpeg"/><Relationship Id="rId18" Type="http://schemas.openxmlformats.org/officeDocument/2006/relationships/image" Target="media/image13.jpeg"/><Relationship Id="rId17" Type="http://schemas.openxmlformats.org/officeDocument/2006/relationships/image" Target="media/image12.jpeg"/><Relationship Id="rId16" Type="http://schemas.openxmlformats.org/officeDocument/2006/relationships/image" Target="media/image11.jpeg"/><Relationship Id="rId15" Type="http://schemas.openxmlformats.org/officeDocument/2006/relationships/image" Target="media/image10.jpeg"/><Relationship Id="rId14" Type="http://schemas.openxmlformats.org/officeDocument/2006/relationships/image" Target="media/image9.jpeg"/><Relationship Id="rId13" Type="http://schemas.openxmlformats.org/officeDocument/2006/relationships/image" Target="media/image8.jpeg"/><Relationship Id="rId12" Type="http://schemas.openxmlformats.org/officeDocument/2006/relationships/image" Target="media/image7.jpeg"/><Relationship Id="rId11" Type="http://schemas.openxmlformats.org/officeDocument/2006/relationships/image" Target="media/image6.jpeg"/><Relationship Id="rId10" Type="http://schemas.openxmlformats.org/officeDocument/2006/relationships/image" Target="media/image5.jpe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4</Pages>
  <Words>1398</Words>
  <Characters>7971</Characters>
  <Lines>66</Lines>
  <Paragraphs>18</Paragraphs>
  <TotalTime>1</TotalTime>
  <ScaleCrop>false</ScaleCrop>
  <LinksUpToDate>false</LinksUpToDate>
  <CharactersWithSpaces>9351</CharactersWithSpaces>
  <Application>WPS Office_12.2.0.17542_F1E327BC-269C-435d-A152-05C5408002CA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2024-08-14T06:09:00Z</dcterms:created>
  <dc:creator>Пользователь</dc:creator>
  <cp:lastModifiedBy>Ольга</cp:lastModifiedBy>
  <cp:lastPrinted>2024-08-14T06:24:00Z</cp:lastPrinted>
  <dcterms:modified xsi:type="dcterms:W3CDTF">2024-08-14T08:47:44Z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1049-12.2.0.17542</vt:lpwstr>
  </property>
  <property fmtid="{D5CDD505-2E9C-101B-9397-08002B2CF9AE}" pid="3" name="ICV">
    <vt:lpwstr>D503844D836D495E85FB64F153492F97_12</vt:lpwstr>
  </property>
</Properties>
</file>